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7"/>
        <w:gridCol w:w="1686"/>
        <w:gridCol w:w="1762"/>
        <w:gridCol w:w="1553"/>
        <w:gridCol w:w="976"/>
        <w:gridCol w:w="1142"/>
        <w:gridCol w:w="1167"/>
        <w:gridCol w:w="1668"/>
        <w:gridCol w:w="1470"/>
      </w:tblGrid>
      <w:tr w:rsidR="00136D6D" w:rsidRPr="00812C67" w:rsidTr="00660486">
        <w:trPr>
          <w:trHeight w:val="1686"/>
          <w:jc w:val="center"/>
        </w:trPr>
        <w:tc>
          <w:tcPr>
            <w:tcW w:w="2182" w:type="dxa"/>
          </w:tcPr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0A7834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 xml:space="preserve">Summer </w:t>
            </w:r>
            <w:r w:rsidR="00A04D6F">
              <w:rPr>
                <w:b/>
                <w:sz w:val="40"/>
                <w:szCs w:val="40"/>
              </w:rPr>
              <w:t>2 Week 1</w:t>
            </w:r>
          </w:p>
        </w:tc>
        <w:tc>
          <w:tcPr>
            <w:tcW w:w="967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76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53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76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4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668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660486" w:rsidRPr="00812C67" w:rsidTr="00B45EAD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67" w:type="dxa"/>
            <w:vMerge w:val="restart"/>
            <w:shd w:val="clear" w:color="auto" w:fill="92D050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686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660486" w:rsidRDefault="002E687C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660486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660486" w:rsidRDefault="002E687C" w:rsidP="00F31FB2">
            <w:pPr>
              <w:ind w:left="113" w:right="113"/>
            </w:pPr>
            <w:hyperlink r:id="rId5" w:history="1">
              <w:r w:rsidR="00660486">
                <w:rPr>
                  <w:rStyle w:val="Hyperlink"/>
                </w:rPr>
                <w:t>https://www.gonoodle.com/</w:t>
              </w:r>
            </w:hyperlink>
          </w:p>
          <w:p w:rsidR="00660486" w:rsidRPr="00812C67" w:rsidRDefault="002E687C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660486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762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home/CGP books/First4Maths activities/fluency grids/any specified work from the daily blog</w:t>
            </w:r>
          </w:p>
          <w:p w:rsidR="00660486" w:rsidRDefault="00660486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660486" w:rsidRPr="005E4610" w:rsidRDefault="002E687C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660486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660486" w:rsidRPr="00812C67" w:rsidRDefault="00660486" w:rsidP="00345F6D">
            <w:pPr>
              <w:ind w:left="113" w:right="113"/>
            </w:pPr>
          </w:p>
        </w:tc>
        <w:tc>
          <w:tcPr>
            <w:tcW w:w="1553" w:type="dxa"/>
            <w:vMerge w:val="restart"/>
            <w:shd w:val="clear" w:color="auto" w:fill="F4B083" w:themeFill="accent2" w:themeFillTint="99"/>
            <w:textDirection w:val="btLr"/>
          </w:tcPr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76" w:type="dxa"/>
            <w:vMerge/>
            <w:shd w:val="clear" w:color="auto" w:fill="FF0000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67" w:type="dxa"/>
            <w:vMerge w:val="restart"/>
            <w:shd w:val="clear" w:color="auto" w:fill="FFD966" w:themeFill="accent4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668" w:type="dxa"/>
            <w:vMerge w:val="restart"/>
            <w:shd w:val="clear" w:color="auto" w:fill="FFD966" w:themeFill="accent4" w:themeFillTint="99"/>
            <w:textDirection w:val="btLr"/>
          </w:tcPr>
          <w:p w:rsidR="00DE2D48" w:rsidRDefault="00DE2D48" w:rsidP="00B45EA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– </w:t>
            </w:r>
          </w:p>
          <w:p w:rsid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 important Historical Medical Hero.</w:t>
            </w:r>
          </w:p>
          <w:p w:rsidR="00DE2D48" w:rsidRP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timeline, report, biography, play about their life and their discovery.</w:t>
            </w:r>
          </w:p>
        </w:tc>
        <w:tc>
          <w:tcPr>
            <w:tcW w:w="1470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660486" w:rsidRPr="00812C67" w:rsidRDefault="00660486">
            <w:pPr>
              <w:rPr>
                <w:b/>
              </w:rPr>
            </w:pP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 w:rsidP="00C20D5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3948" w:type="dxa"/>
        <w:tblLook w:val="04A0" w:firstRow="1" w:lastRow="0" w:firstColumn="1" w:lastColumn="0" w:noHBand="0" w:noVBand="1"/>
      </w:tblPr>
      <w:tblGrid>
        <w:gridCol w:w="1781"/>
        <w:gridCol w:w="6770"/>
        <w:gridCol w:w="5397"/>
      </w:tblGrid>
      <w:tr w:rsidR="002A2340" w:rsidRPr="00934C1C" w:rsidTr="00813C76">
        <w:trPr>
          <w:trHeight w:val="1125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B5178B" w:rsidRPr="00934C1C" w:rsidRDefault="00A04D6F" w:rsidP="00A04D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Pr="00A04D6F">
              <w:rPr>
                <w:b/>
                <w:sz w:val="32"/>
                <w:szCs w:val="32"/>
                <w:vertAlign w:val="superscript"/>
              </w:rPr>
              <w:t>st</w:t>
            </w:r>
            <w:r w:rsidR="00741737">
              <w:rPr>
                <w:b/>
                <w:sz w:val="32"/>
                <w:szCs w:val="32"/>
              </w:rPr>
              <w:t xml:space="preserve"> J</w:t>
            </w:r>
            <w:r>
              <w:rPr>
                <w:b/>
                <w:sz w:val="32"/>
                <w:szCs w:val="32"/>
              </w:rPr>
              <w:t>une</w:t>
            </w:r>
          </w:p>
        </w:tc>
        <w:tc>
          <w:tcPr>
            <w:tcW w:w="6855" w:type="dxa"/>
          </w:tcPr>
          <w:p w:rsidR="006C6334" w:rsidRDefault="00CC258B" w:rsidP="006C633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English</w:t>
            </w:r>
            <w:r w:rsidR="0012426B">
              <w:rPr>
                <w:rFonts w:cstheme="minorHAnsi"/>
                <w:b/>
              </w:rPr>
              <w:t>:</w:t>
            </w:r>
            <w:r w:rsidR="006C6334">
              <w:rPr>
                <w:rFonts w:cstheme="minorHAnsi"/>
                <w:b/>
              </w:rPr>
              <w:t xml:space="preserve"> </w:t>
            </w:r>
            <w:r w:rsidR="002529A2" w:rsidRPr="002A2340">
              <w:rPr>
                <w:rFonts w:cstheme="minorHAnsi"/>
              </w:rPr>
              <w:t xml:space="preserve">Blue John by </w:t>
            </w:r>
            <w:proofErr w:type="spellStart"/>
            <w:r w:rsidR="002529A2" w:rsidRPr="002A2340">
              <w:rPr>
                <w:rFonts w:cstheme="minorHAnsi"/>
              </w:rPr>
              <w:t>Berlie</w:t>
            </w:r>
            <w:proofErr w:type="spellEnd"/>
            <w:r w:rsidR="002529A2" w:rsidRPr="002A2340">
              <w:rPr>
                <w:rFonts w:cstheme="minorHAnsi"/>
              </w:rPr>
              <w:t xml:space="preserve"> Doherty</w:t>
            </w:r>
            <w:r w:rsidR="002A2340">
              <w:rPr>
                <w:rFonts w:cstheme="minorHAnsi"/>
                <w:b/>
              </w:rPr>
              <w:t xml:space="preserve">. </w:t>
            </w:r>
            <w:r w:rsidR="002A2340" w:rsidRPr="002A2340">
              <w:rPr>
                <w:rFonts w:cstheme="minorHAnsi"/>
              </w:rPr>
              <w:t xml:space="preserve">See attached </w:t>
            </w:r>
            <w:r w:rsidR="002A2340">
              <w:rPr>
                <w:rFonts w:cstheme="minorHAnsi"/>
              </w:rPr>
              <w:t>lesson.</w:t>
            </w:r>
          </w:p>
          <w:p w:rsidR="000A7834" w:rsidRDefault="00045898" w:rsidP="000A783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Spelling: </w:t>
            </w:r>
            <w:r w:rsidR="009B2BEF" w:rsidRPr="009B2BEF">
              <w:rPr>
                <w:rFonts w:cstheme="minorHAnsi"/>
              </w:rPr>
              <w:t>Y3/4 words Column 6</w:t>
            </w:r>
            <w:r w:rsidR="009B2BEF">
              <w:rPr>
                <w:rFonts w:cstheme="minorHAnsi"/>
                <w:b/>
              </w:rPr>
              <w:t xml:space="preserve"> </w:t>
            </w:r>
          </w:p>
          <w:bookmarkStart w:id="0" w:name="_GoBack"/>
          <w:p w:rsidR="000A7834" w:rsidRDefault="002E687C" w:rsidP="000A7834">
            <w:pPr>
              <w:rPr>
                <w:rFonts w:cstheme="minorHAnsi"/>
              </w:rPr>
            </w:pPr>
            <w:r>
              <w:fldChar w:fldCharType="begin"/>
            </w:r>
            <w:r>
              <w:instrText xml:space="preserve"> HYPERLINK "https://spellingframe.co.uk/spelling-rule/72/34-Word-list-years-3-a</w:instrText>
            </w:r>
            <w:r>
              <w:instrText xml:space="preserve">nd-4---sep--to-su-" </w:instrText>
            </w:r>
            <w:r>
              <w:fldChar w:fldCharType="separate"/>
            </w:r>
            <w:r w:rsidR="009B2BEF">
              <w:rPr>
                <w:rStyle w:val="Hyperlink"/>
              </w:rPr>
              <w:t>https://spellingframe.co.uk/spelling-rule/72/34-Word-list-years-3-and-4---sep--to-su-</w:t>
            </w:r>
            <w:r>
              <w:rPr>
                <w:rStyle w:val="Hyperlink"/>
              </w:rPr>
              <w:fldChar w:fldCharType="end"/>
            </w:r>
            <w:bookmarkEnd w:id="0"/>
            <w:r w:rsidR="002C7EC3">
              <w:rPr>
                <w:rFonts w:cstheme="minorHAnsi"/>
              </w:rPr>
              <w:t xml:space="preserve"> </w:t>
            </w:r>
          </w:p>
          <w:p w:rsidR="002C7EC3" w:rsidRPr="00741737" w:rsidRDefault="006C6334" w:rsidP="0012459A">
            <w:pPr>
              <w:rPr>
                <w:rFonts w:cstheme="minorHAnsi"/>
              </w:rPr>
            </w:pPr>
            <w:r w:rsidRPr="006C6334">
              <w:rPr>
                <w:rFonts w:cstheme="minorHAnsi"/>
                <w:b/>
              </w:rPr>
              <w:t>Times Tables:</w:t>
            </w:r>
            <w:r w:rsidR="00741737">
              <w:rPr>
                <w:rFonts w:cstheme="minorHAnsi"/>
                <w:b/>
              </w:rPr>
              <w:t xml:space="preserve"> </w:t>
            </w:r>
            <w:proofErr w:type="spellStart"/>
            <w:r w:rsidR="0012459A">
              <w:rPr>
                <w:rFonts w:cstheme="minorHAnsi"/>
              </w:rPr>
              <w:t>TTRock</w:t>
            </w:r>
            <w:proofErr w:type="spellEnd"/>
            <w:r w:rsidR="0012459A">
              <w:rPr>
                <w:rFonts w:cstheme="minorHAnsi"/>
              </w:rPr>
              <w:t xml:space="preserve"> stars and p</w:t>
            </w:r>
            <w:r w:rsidR="00741737">
              <w:rPr>
                <w:rFonts w:cstheme="minorHAnsi"/>
              </w:rPr>
              <w:t>ractise your 2x 4x and 8x table.</w:t>
            </w:r>
          </w:p>
        </w:tc>
        <w:tc>
          <w:tcPr>
            <w:tcW w:w="5448" w:type="dxa"/>
            <w:vMerge w:val="restart"/>
          </w:tcPr>
          <w:p w:rsidR="002C421B" w:rsidRPr="00530D94" w:rsidRDefault="00813C76" w:rsidP="006C6334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30D9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Geography: </w:t>
            </w:r>
            <w:r w:rsidR="002C421B" w:rsidRPr="00530D9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Caves </w:t>
            </w:r>
          </w:p>
          <w:p w:rsidR="00813C76" w:rsidRDefault="00813C76" w:rsidP="006C6334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Our new class book is called Blue John by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Berlie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Doherty and is set in a cave. </w:t>
            </w:r>
          </w:p>
          <w:p w:rsidR="00813C76" w:rsidRDefault="00813C76" w:rsidP="006C6334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can you find out about caves? Can you paint, draw, make a cave out of cardboard</w:t>
            </w:r>
            <w:r w:rsidR="00393F57">
              <w:rPr>
                <w:rFonts w:asciiTheme="minorHAnsi" w:hAnsiTheme="minorHAnsi" w:cstheme="minorHAnsi"/>
              </w:rPr>
              <w:t>, an old shoebox, playdoh, moon sand</w:t>
            </w:r>
            <w:r w:rsidR="002A2340">
              <w:rPr>
                <w:rFonts w:asciiTheme="minorHAnsi" w:hAnsiTheme="minorHAnsi" w:cstheme="minorHAnsi"/>
              </w:rPr>
              <w:t xml:space="preserve"> or L</w:t>
            </w:r>
            <w:r>
              <w:rPr>
                <w:rFonts w:asciiTheme="minorHAnsi" w:hAnsiTheme="minorHAnsi" w:cstheme="minorHAnsi"/>
              </w:rPr>
              <w:t xml:space="preserve">ego? </w:t>
            </w:r>
          </w:p>
          <w:p w:rsidR="00813C76" w:rsidRDefault="00813C76" w:rsidP="006C6334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are the special features of caves you have found out about? What are the new words you have learned? What is Blue John?</w:t>
            </w:r>
            <w:r w:rsidR="00393F57">
              <w:rPr>
                <w:rFonts w:asciiTheme="minorHAnsi" w:hAnsiTheme="minorHAnsi" w:cstheme="minorHAnsi"/>
              </w:rPr>
              <w:t xml:space="preserve"> Where are the Blue John Caverns?</w:t>
            </w:r>
          </w:p>
          <w:p w:rsidR="00813C76" w:rsidRDefault="002E687C" w:rsidP="006C6334">
            <w:pPr>
              <w:pStyle w:val="NormalWeb"/>
              <w:rPr>
                <w:rStyle w:val="Hyperlink"/>
              </w:rPr>
            </w:pPr>
            <w:hyperlink r:id="rId12" w:anchor="videoSection" w:history="1">
              <w:r w:rsidR="00813C76">
                <w:rPr>
                  <w:rStyle w:val="Hyperlink"/>
                </w:rPr>
                <w:t>https://bluejohnstone.com/gallery/#videoSection</w:t>
              </w:r>
            </w:hyperlink>
          </w:p>
          <w:p w:rsidR="00393F57" w:rsidRDefault="002E687C" w:rsidP="006C6334">
            <w:pPr>
              <w:pStyle w:val="NormalWeb"/>
            </w:pPr>
            <w:hyperlink r:id="rId13" w:history="1">
              <w:r w:rsidR="00393F57">
                <w:rPr>
                  <w:rStyle w:val="Hyperlink"/>
                </w:rPr>
                <w:t>https://www.bluejohn-cavern.co.uk/</w:t>
              </w:r>
            </w:hyperlink>
          </w:p>
          <w:p w:rsidR="00813C76" w:rsidRDefault="002E687C" w:rsidP="006C6334">
            <w:pPr>
              <w:pStyle w:val="NormalWeb"/>
            </w:pPr>
            <w:hyperlink r:id="rId14" w:history="1">
              <w:r w:rsidR="00813C76">
                <w:rPr>
                  <w:rStyle w:val="Hyperlink"/>
                </w:rPr>
                <w:t>https://kids.britannica.com/kids/article/cave/352930</w:t>
              </w:r>
            </w:hyperlink>
          </w:p>
          <w:p w:rsidR="00813C76" w:rsidRDefault="002E687C" w:rsidP="006C6334">
            <w:pPr>
              <w:pStyle w:val="NormalWeb"/>
            </w:pPr>
            <w:hyperlink r:id="rId15" w:history="1">
              <w:r w:rsidR="008C3909">
                <w:rPr>
                  <w:rStyle w:val="Hyperlink"/>
                </w:rPr>
                <w:t>http://www.bbc.com/earth/story/20170221-filming-inside-a-giant-bat-cave</w:t>
              </w:r>
            </w:hyperlink>
          </w:p>
          <w:p w:rsidR="008C3909" w:rsidRDefault="002E687C" w:rsidP="006C6334">
            <w:pPr>
              <w:pStyle w:val="NormalWeb"/>
            </w:pPr>
            <w:hyperlink r:id="rId16" w:history="1">
              <w:r w:rsidR="008C3909">
                <w:rPr>
                  <w:rStyle w:val="Hyperlink"/>
                </w:rPr>
                <w:t>https://www.bbc.co.uk/programmes/p0091ycj</w:t>
              </w:r>
            </w:hyperlink>
          </w:p>
          <w:p w:rsidR="00813C76" w:rsidRDefault="002E687C" w:rsidP="006C6334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hyperlink r:id="rId17" w:history="1">
              <w:r w:rsidR="008C3909">
                <w:rPr>
                  <w:rStyle w:val="Hyperlink"/>
                </w:rPr>
                <w:t>https://easyscienceforkids.com/stalactites-and-stalagmites-video-for-kids/</w:t>
              </w:r>
            </w:hyperlink>
          </w:p>
          <w:p w:rsidR="002C421B" w:rsidRPr="00CC258B" w:rsidRDefault="002C421B" w:rsidP="006C6334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A2340" w:rsidRPr="00934C1C" w:rsidTr="00813C76">
        <w:trPr>
          <w:trHeight w:val="1521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B5178B" w:rsidRPr="00934C1C" w:rsidRDefault="00A04D6F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A04D6F">
              <w:rPr>
                <w:b/>
                <w:sz w:val="32"/>
                <w:szCs w:val="32"/>
                <w:vertAlign w:val="superscript"/>
              </w:rPr>
              <w:t>nd</w:t>
            </w:r>
            <w:r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855" w:type="dxa"/>
          </w:tcPr>
          <w:p w:rsidR="006C6334" w:rsidRDefault="0012426B" w:rsidP="006C6334">
            <w:pPr>
              <w:ind w:right="-81"/>
              <w:rPr>
                <w:rFonts w:cstheme="minorHAnsi"/>
                <w:b/>
              </w:rPr>
            </w:pPr>
            <w:r>
              <w:rPr>
                <w:b/>
                <w:sz w:val="20"/>
                <w:szCs w:val="20"/>
              </w:rPr>
              <w:t xml:space="preserve">Reading: </w:t>
            </w:r>
            <w:r w:rsidR="006C6334">
              <w:rPr>
                <w:rFonts w:cstheme="minorHAnsi"/>
                <w:b/>
              </w:rPr>
              <w:t xml:space="preserve"> </w:t>
            </w:r>
            <w:r w:rsidR="00741737" w:rsidRPr="00741737">
              <w:rPr>
                <w:rFonts w:cstheme="minorHAnsi"/>
              </w:rPr>
              <w:t>Choose a comprehension from your pack</w:t>
            </w:r>
            <w:r w:rsidR="00DF6829">
              <w:rPr>
                <w:rFonts w:cstheme="minorHAnsi"/>
              </w:rPr>
              <w:t xml:space="preserve"> or one of the pick and mix activities.</w:t>
            </w:r>
          </w:p>
          <w:p w:rsidR="006C6334" w:rsidRPr="006C6334" w:rsidRDefault="006C6334" w:rsidP="006C6334">
            <w:pPr>
              <w:ind w:right="-81"/>
              <w:rPr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Maths: </w:t>
            </w:r>
            <w:r>
              <w:rPr>
                <w:rFonts w:cstheme="minorHAnsi"/>
              </w:rPr>
              <w:t xml:space="preserve">Dividing a 2-digit by 1-digit number. </w:t>
            </w:r>
            <w:r w:rsidRPr="00393F57">
              <w:rPr>
                <w:rFonts w:cstheme="minorHAnsi"/>
                <w:b/>
              </w:rPr>
              <w:t>Summer term WEEK 3 LESSON 3.</w:t>
            </w:r>
            <w:r>
              <w:rPr>
                <w:rFonts w:cstheme="minorHAnsi"/>
              </w:rPr>
              <w:t xml:space="preserve"> </w:t>
            </w:r>
            <w:hyperlink r:id="rId18" w:history="1">
              <w:r>
                <w:rPr>
                  <w:rStyle w:val="Hyperlink"/>
                </w:rPr>
                <w:t>https://whiterosemaths.com/homelearning/year-4/</w:t>
              </w:r>
            </w:hyperlink>
          </w:p>
          <w:p w:rsidR="00B5178B" w:rsidRPr="00B5178B" w:rsidRDefault="006C6334" w:rsidP="006C6334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21F381" wp14:editId="4AB074C5">
                  <wp:extent cx="1333500" cy="753157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668" cy="760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2A2340" w:rsidRPr="00934C1C" w:rsidTr="00813C76">
        <w:trPr>
          <w:trHeight w:val="1506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B5178B" w:rsidRPr="00934C1C" w:rsidRDefault="00A04D6F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A04D6F">
              <w:rPr>
                <w:b/>
                <w:sz w:val="32"/>
                <w:szCs w:val="32"/>
                <w:vertAlign w:val="superscript"/>
              </w:rPr>
              <w:t>rd</w:t>
            </w:r>
            <w:r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855" w:type="dxa"/>
          </w:tcPr>
          <w:p w:rsidR="008A7E15" w:rsidRDefault="008A7E15" w:rsidP="008A7E15">
            <w:pPr>
              <w:rPr>
                <w:sz w:val="21"/>
                <w:szCs w:val="21"/>
              </w:rPr>
            </w:pPr>
            <w:r w:rsidRPr="00091F4F">
              <w:rPr>
                <w:b/>
                <w:sz w:val="20"/>
                <w:szCs w:val="20"/>
              </w:rPr>
              <w:t xml:space="preserve">English: </w:t>
            </w:r>
            <w:r>
              <w:rPr>
                <w:sz w:val="21"/>
                <w:szCs w:val="21"/>
              </w:rPr>
              <w:t xml:space="preserve"> </w:t>
            </w:r>
            <w:r w:rsidR="00393F57">
              <w:t xml:space="preserve"> </w:t>
            </w:r>
            <w:r w:rsidR="002A2340">
              <w:t xml:space="preserve">Continue with the Blue John activities (attached) </w:t>
            </w:r>
          </w:p>
          <w:p w:rsidR="000A7834" w:rsidRDefault="00045898" w:rsidP="00FD47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Spelling: </w:t>
            </w:r>
            <w:r w:rsidR="009B2BEF" w:rsidRPr="009B2BEF">
              <w:rPr>
                <w:rFonts w:cstheme="minorHAnsi"/>
              </w:rPr>
              <w:t>Y3/4 words Column 6</w:t>
            </w:r>
          </w:p>
          <w:p w:rsidR="009B2BEF" w:rsidRDefault="002E687C" w:rsidP="00FD477E">
            <w:pPr>
              <w:rPr>
                <w:rFonts w:cstheme="minorHAnsi"/>
              </w:rPr>
            </w:pPr>
            <w:hyperlink r:id="rId20" w:history="1">
              <w:r w:rsidR="009B2BEF">
                <w:rPr>
                  <w:rStyle w:val="Hyperlink"/>
                </w:rPr>
                <w:t>https://spellingframe.co.uk/spelling-rule/72/34-Word-list-years-3-and-4---sep--to-su-</w:t>
              </w:r>
            </w:hyperlink>
          </w:p>
          <w:p w:rsidR="00222045" w:rsidRDefault="00222045" w:rsidP="006C6334">
            <w:pPr>
              <w:rPr>
                <w:sz w:val="21"/>
                <w:szCs w:val="21"/>
              </w:rPr>
            </w:pPr>
            <w:r w:rsidRPr="00222045">
              <w:rPr>
                <w:b/>
                <w:sz w:val="21"/>
                <w:szCs w:val="21"/>
              </w:rPr>
              <w:t>Times Tables:</w:t>
            </w:r>
            <w:r>
              <w:rPr>
                <w:sz w:val="21"/>
                <w:szCs w:val="21"/>
              </w:rPr>
              <w:t xml:space="preserve"> </w:t>
            </w:r>
            <w:r w:rsidR="009B2BEF">
              <w:rPr>
                <w:sz w:val="21"/>
                <w:szCs w:val="21"/>
              </w:rPr>
              <w:t>2x 4x 8x division facts</w:t>
            </w:r>
          </w:p>
          <w:p w:rsidR="006C6334" w:rsidRPr="00091F4F" w:rsidRDefault="006C6334" w:rsidP="000D26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Mindfulness</w:t>
            </w:r>
            <w:r w:rsidRPr="0012459A">
              <w:rPr>
                <w:rStyle w:val="Hyperlink"/>
                <w:u w:val="none"/>
              </w:rPr>
              <w:t>:</w:t>
            </w:r>
            <w:r w:rsidR="0012459A">
              <w:rPr>
                <w:rStyle w:val="Hyperlink"/>
                <w:u w:val="none"/>
              </w:rPr>
              <w:t xml:space="preserve"> </w:t>
            </w:r>
            <w:r w:rsidR="000D26A6" w:rsidRPr="000D26A6">
              <w:rPr>
                <w:rStyle w:val="Hyperlink"/>
                <w:color w:val="auto"/>
                <w:u w:val="none"/>
              </w:rPr>
              <w:t>Activity pack attached</w:t>
            </w:r>
            <w:r w:rsidR="000D26A6">
              <w:rPr>
                <w:rStyle w:val="Hyperlink"/>
                <w:color w:val="auto"/>
                <w:u w:val="none"/>
              </w:rPr>
              <w:t xml:space="preserve"> and a link to</w:t>
            </w:r>
            <w:r w:rsidR="000D26A6">
              <w:t xml:space="preserve"> </w:t>
            </w:r>
            <w:r w:rsidR="000D26A6">
              <w:t xml:space="preserve">calm music </w:t>
            </w:r>
            <w:r w:rsidR="000D26A6">
              <w:t xml:space="preserve">while you relax </w:t>
            </w:r>
            <w:hyperlink r:id="rId21" w:history="1">
              <w:r w:rsidR="000D26A6">
                <w:rPr>
                  <w:rStyle w:val="Hyperlink"/>
                </w:rPr>
                <w:t>https://www.youtube.com/watch?v=qFZKK7K52uQ</w:t>
              </w:r>
            </w:hyperlink>
            <w:r w:rsidR="000D26A6">
              <w:t xml:space="preserve"> 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2A2340" w:rsidRPr="00934C1C" w:rsidTr="00813C76">
        <w:trPr>
          <w:trHeight w:val="1064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B5178B" w:rsidRPr="00934C1C" w:rsidRDefault="00A04D6F" w:rsidP="000A78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A04D6F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855" w:type="dxa"/>
          </w:tcPr>
          <w:p w:rsidR="006C6334" w:rsidRPr="002A2340" w:rsidRDefault="006C6334" w:rsidP="006C6334">
            <w:pPr>
              <w:rPr>
                <w:sz w:val="20"/>
                <w:szCs w:val="20"/>
              </w:rPr>
            </w:pPr>
            <w:r w:rsidRPr="008A7E15">
              <w:rPr>
                <w:b/>
                <w:sz w:val="20"/>
                <w:szCs w:val="20"/>
              </w:rPr>
              <w:t>Reading: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D26A6" w:rsidRPr="000D26A6">
              <w:rPr>
                <w:sz w:val="20"/>
                <w:szCs w:val="20"/>
              </w:rPr>
              <w:t>First News attached</w:t>
            </w:r>
            <w:r w:rsidR="002A2340">
              <w:rPr>
                <w:b/>
                <w:sz w:val="20"/>
                <w:szCs w:val="20"/>
              </w:rPr>
              <w:t xml:space="preserve">- </w:t>
            </w:r>
            <w:r w:rsidR="002A2340">
              <w:rPr>
                <w:sz w:val="20"/>
                <w:szCs w:val="20"/>
              </w:rPr>
              <w:t>which article has captured your interest most?</w:t>
            </w:r>
          </w:p>
          <w:p w:rsidR="006C6334" w:rsidRDefault="006C6334" w:rsidP="002C7EC3">
            <w:pPr>
              <w:ind w:right="-81"/>
              <w:rPr>
                <w:b/>
                <w:sz w:val="20"/>
                <w:szCs w:val="20"/>
              </w:rPr>
            </w:pPr>
          </w:p>
          <w:p w:rsidR="006C6334" w:rsidRPr="006C6334" w:rsidRDefault="00CE50C8" w:rsidP="006C6334">
            <w:pPr>
              <w:ind w:right="-81"/>
              <w:rPr>
                <w:sz w:val="20"/>
                <w:szCs w:val="20"/>
              </w:rPr>
            </w:pPr>
            <w:r w:rsidRPr="008A7E15">
              <w:rPr>
                <w:b/>
                <w:sz w:val="20"/>
                <w:szCs w:val="20"/>
              </w:rPr>
              <w:t>Maths</w:t>
            </w:r>
            <w:r w:rsidR="00222045" w:rsidRPr="008A7E15">
              <w:rPr>
                <w:b/>
                <w:sz w:val="20"/>
                <w:szCs w:val="20"/>
              </w:rPr>
              <w:t>:</w:t>
            </w:r>
            <w:r w:rsidR="002C7EC3">
              <w:rPr>
                <w:b/>
                <w:sz w:val="20"/>
                <w:szCs w:val="20"/>
              </w:rPr>
              <w:t xml:space="preserve"> </w:t>
            </w:r>
            <w:r w:rsidR="006C6334" w:rsidRPr="006C6334">
              <w:rPr>
                <w:sz w:val="20"/>
                <w:szCs w:val="20"/>
              </w:rPr>
              <w:t xml:space="preserve">Dividing a 3-digit number by a 1-digit number. </w:t>
            </w:r>
            <w:r w:rsidR="006C6334" w:rsidRPr="00393F57">
              <w:rPr>
                <w:b/>
                <w:sz w:val="20"/>
                <w:szCs w:val="20"/>
              </w:rPr>
              <w:t>Summer Term WEEK 3 LESSON 4</w:t>
            </w:r>
            <w:r w:rsidR="006C6334">
              <w:rPr>
                <w:sz w:val="20"/>
                <w:szCs w:val="20"/>
              </w:rPr>
              <w:t xml:space="preserve">  </w:t>
            </w:r>
            <w:hyperlink r:id="rId22" w:history="1">
              <w:r w:rsidR="006C6334" w:rsidRPr="007A1EB5">
                <w:rPr>
                  <w:rStyle w:val="Hyperlink"/>
                </w:rPr>
                <w:t>https://whiterosemaths.com/homelearning/year-4/</w:t>
              </w:r>
            </w:hyperlink>
          </w:p>
          <w:p w:rsidR="002C7EC3" w:rsidRDefault="006C6334" w:rsidP="002C7EC3">
            <w:pPr>
              <w:rPr>
                <w:rFonts w:cstheme="minorHAnsi"/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E9BB15" wp14:editId="6ED7F3B0">
                  <wp:extent cx="1187010" cy="54864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99" cy="55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7E15" w:rsidRPr="008A7E15" w:rsidRDefault="008A7E15" w:rsidP="006C6334">
            <w:pPr>
              <w:rPr>
                <w:sz w:val="20"/>
                <w:szCs w:val="20"/>
              </w:rPr>
            </w:pP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2A2340" w:rsidRPr="00934C1C" w:rsidTr="00813C76">
        <w:trPr>
          <w:trHeight w:val="1451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B5178B" w:rsidRPr="00934C1C" w:rsidRDefault="00A04D6F" w:rsidP="00A04D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A04D6F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855" w:type="dxa"/>
          </w:tcPr>
          <w:p w:rsidR="00BE0AB9" w:rsidRPr="002A2340" w:rsidRDefault="00091F4F" w:rsidP="00DA0C01">
            <w:pPr>
              <w:rPr>
                <w:sz w:val="20"/>
                <w:szCs w:val="20"/>
              </w:rPr>
            </w:pPr>
            <w:r w:rsidRPr="00091F4F">
              <w:rPr>
                <w:b/>
                <w:sz w:val="20"/>
                <w:szCs w:val="20"/>
              </w:rPr>
              <w:t xml:space="preserve">English: </w:t>
            </w:r>
            <w:r w:rsidR="002A2340">
              <w:rPr>
                <w:b/>
                <w:sz w:val="20"/>
                <w:szCs w:val="20"/>
              </w:rPr>
              <w:t xml:space="preserve">SPAG- </w:t>
            </w:r>
            <w:r w:rsidR="002A2340" w:rsidRPr="002A2340">
              <w:rPr>
                <w:sz w:val="20"/>
                <w:szCs w:val="20"/>
              </w:rPr>
              <w:t>Possessive apostrophe</w:t>
            </w:r>
            <w:r w:rsidR="002A2340">
              <w:rPr>
                <w:sz w:val="20"/>
                <w:szCs w:val="20"/>
              </w:rPr>
              <w:t xml:space="preserve">. Attached poster to support </w:t>
            </w:r>
            <w:hyperlink r:id="rId24" w:history="1">
              <w:r w:rsidR="002A2340">
                <w:rPr>
                  <w:rStyle w:val="Hyperlink"/>
                </w:rPr>
                <w:t>https://www.bbc.co.uk/bitesize/topics/zvwwxnb/articles/zx9ydxs</w:t>
              </w:r>
            </w:hyperlink>
          </w:p>
          <w:p w:rsidR="002C7EC3" w:rsidRPr="00045898" w:rsidRDefault="00FD477E" w:rsidP="002C7EC3">
            <w:pPr>
              <w:ind w:right="-81"/>
            </w:pPr>
            <w:r w:rsidRPr="00FD477E">
              <w:rPr>
                <w:b/>
                <w:sz w:val="20"/>
                <w:szCs w:val="20"/>
              </w:rPr>
              <w:t>Maths</w:t>
            </w:r>
            <w:r>
              <w:rPr>
                <w:sz w:val="20"/>
                <w:szCs w:val="20"/>
              </w:rPr>
              <w:t xml:space="preserve">: </w:t>
            </w:r>
            <w:r w:rsidR="002C7EC3">
              <w:rPr>
                <w:noProof/>
                <w:lang w:eastAsia="en-GB"/>
              </w:rPr>
              <w:t xml:space="preserve"> Fluency grid- choose a 3-digit number to go in the star and solve the calculations. </w:t>
            </w:r>
            <w:r w:rsidR="002C7EC3" w:rsidRPr="00BE0AB9">
              <w:t xml:space="preserve"> </w:t>
            </w:r>
          </w:p>
          <w:p w:rsidR="0012426B" w:rsidRDefault="0012426B" w:rsidP="0012426B">
            <w:pPr>
              <w:rPr>
                <w:sz w:val="20"/>
                <w:szCs w:val="20"/>
              </w:rPr>
            </w:pPr>
            <w:r w:rsidRPr="0012426B">
              <w:rPr>
                <w:b/>
                <w:sz w:val="20"/>
                <w:szCs w:val="20"/>
              </w:rPr>
              <w:t xml:space="preserve">Reading: </w:t>
            </w:r>
            <w:r w:rsidR="00DF6829">
              <w:rPr>
                <w:sz w:val="20"/>
                <w:szCs w:val="20"/>
              </w:rPr>
              <w:t xml:space="preserve">Chapter 1 of Blue John </w:t>
            </w:r>
            <w:hyperlink r:id="rId25" w:history="1">
              <w:r w:rsidR="00DF6829">
                <w:rPr>
                  <w:rStyle w:val="Hyperlink"/>
                </w:rPr>
                <w:t>https://issuu.com/barringtonstoke/docs/blue_john_chapter_samples</w:t>
              </w:r>
            </w:hyperlink>
          </w:p>
          <w:p w:rsidR="008A7E15" w:rsidRDefault="008A7E15" w:rsidP="000A7834">
            <w:pPr>
              <w:rPr>
                <w:rFonts w:cstheme="minorHAnsi"/>
              </w:rPr>
            </w:pPr>
            <w:r>
              <w:rPr>
                <w:b/>
                <w:sz w:val="20"/>
                <w:szCs w:val="20"/>
              </w:rPr>
              <w:t>Spelling</w:t>
            </w:r>
            <w:r w:rsidRPr="00E41E4A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D26A6">
              <w:rPr>
                <w:rFonts w:cstheme="minorHAnsi"/>
              </w:rPr>
              <w:t>Have a go at the online practise test for this week’s words.</w:t>
            </w:r>
          </w:p>
          <w:p w:rsidR="000D26A6" w:rsidRPr="0012426B" w:rsidRDefault="000D26A6" w:rsidP="000A7834">
            <w:pPr>
              <w:rPr>
                <w:b/>
                <w:sz w:val="20"/>
                <w:szCs w:val="20"/>
              </w:rPr>
            </w:pPr>
            <w:hyperlink r:id="rId26" w:history="1">
              <w:r>
                <w:rPr>
                  <w:rStyle w:val="Hyperlink"/>
                </w:rPr>
                <w:t>https://spellingframe.co.uk/spelling-rule/50/32-Word-list-years-3-and-4---or--to-pre-</w:t>
              </w:r>
            </w:hyperlink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</w:tbl>
    <w:p w:rsidR="00FB3A4E" w:rsidRDefault="00FB3A4E" w:rsidP="00BD32ED">
      <w:pPr>
        <w:rPr>
          <w:sz w:val="32"/>
          <w:szCs w:val="32"/>
        </w:rPr>
      </w:pPr>
    </w:p>
    <w:sectPr w:rsidR="00FB3A4E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45898"/>
    <w:rsid w:val="00057611"/>
    <w:rsid w:val="00057B92"/>
    <w:rsid w:val="00066D5D"/>
    <w:rsid w:val="00091F4F"/>
    <w:rsid w:val="000A7834"/>
    <w:rsid w:val="000D20A9"/>
    <w:rsid w:val="000D26A6"/>
    <w:rsid w:val="000F5A07"/>
    <w:rsid w:val="0012426B"/>
    <w:rsid w:val="0012459A"/>
    <w:rsid w:val="00136D6D"/>
    <w:rsid w:val="00180C15"/>
    <w:rsid w:val="00222045"/>
    <w:rsid w:val="002274F0"/>
    <w:rsid w:val="00236B51"/>
    <w:rsid w:val="002529A2"/>
    <w:rsid w:val="002A2340"/>
    <w:rsid w:val="002C1A4F"/>
    <w:rsid w:val="002C421B"/>
    <w:rsid w:val="002C7EC3"/>
    <w:rsid w:val="002E687C"/>
    <w:rsid w:val="00301C01"/>
    <w:rsid w:val="00345F6D"/>
    <w:rsid w:val="00372737"/>
    <w:rsid w:val="0038460A"/>
    <w:rsid w:val="00393F57"/>
    <w:rsid w:val="004130C2"/>
    <w:rsid w:val="00471880"/>
    <w:rsid w:val="004C63C9"/>
    <w:rsid w:val="004D07ED"/>
    <w:rsid w:val="004F7450"/>
    <w:rsid w:val="00516BEB"/>
    <w:rsid w:val="00530D94"/>
    <w:rsid w:val="005318C3"/>
    <w:rsid w:val="00565FBF"/>
    <w:rsid w:val="00567EE6"/>
    <w:rsid w:val="005E4610"/>
    <w:rsid w:val="00646C74"/>
    <w:rsid w:val="00660486"/>
    <w:rsid w:val="006C5847"/>
    <w:rsid w:val="006C6334"/>
    <w:rsid w:val="00714E95"/>
    <w:rsid w:val="00726570"/>
    <w:rsid w:val="00741737"/>
    <w:rsid w:val="007471F7"/>
    <w:rsid w:val="007E2FC5"/>
    <w:rsid w:val="00812C67"/>
    <w:rsid w:val="00813C76"/>
    <w:rsid w:val="008148ED"/>
    <w:rsid w:val="008416C0"/>
    <w:rsid w:val="00847E70"/>
    <w:rsid w:val="008A7E15"/>
    <w:rsid w:val="008B5B5E"/>
    <w:rsid w:val="008C3909"/>
    <w:rsid w:val="008E2655"/>
    <w:rsid w:val="0090014D"/>
    <w:rsid w:val="00934C1C"/>
    <w:rsid w:val="00934FB8"/>
    <w:rsid w:val="00960E58"/>
    <w:rsid w:val="0097745F"/>
    <w:rsid w:val="009B2BEF"/>
    <w:rsid w:val="009B62F5"/>
    <w:rsid w:val="009D16CA"/>
    <w:rsid w:val="00A02AF6"/>
    <w:rsid w:val="00A0368B"/>
    <w:rsid w:val="00A04D6F"/>
    <w:rsid w:val="00A20BEE"/>
    <w:rsid w:val="00AB71EA"/>
    <w:rsid w:val="00AC5D18"/>
    <w:rsid w:val="00B10C14"/>
    <w:rsid w:val="00B45EAD"/>
    <w:rsid w:val="00B5178B"/>
    <w:rsid w:val="00B74E34"/>
    <w:rsid w:val="00B97704"/>
    <w:rsid w:val="00BD0172"/>
    <w:rsid w:val="00BD32ED"/>
    <w:rsid w:val="00BE0AB9"/>
    <w:rsid w:val="00C20D51"/>
    <w:rsid w:val="00C71912"/>
    <w:rsid w:val="00C8027D"/>
    <w:rsid w:val="00C961B3"/>
    <w:rsid w:val="00CC258B"/>
    <w:rsid w:val="00CC7F94"/>
    <w:rsid w:val="00CE50C8"/>
    <w:rsid w:val="00DA0C01"/>
    <w:rsid w:val="00DC1E81"/>
    <w:rsid w:val="00DE2D48"/>
    <w:rsid w:val="00DE3F4E"/>
    <w:rsid w:val="00DF6829"/>
    <w:rsid w:val="00E41E4A"/>
    <w:rsid w:val="00E70E09"/>
    <w:rsid w:val="00F02DBE"/>
    <w:rsid w:val="00F053B1"/>
    <w:rsid w:val="00F10A24"/>
    <w:rsid w:val="00F30C4C"/>
    <w:rsid w:val="00F31FB2"/>
    <w:rsid w:val="00F44B36"/>
    <w:rsid w:val="00FA0376"/>
    <w:rsid w:val="00FA0DD2"/>
    <w:rsid w:val="00FB3A4E"/>
    <w:rsid w:val="00FB63EE"/>
    <w:rsid w:val="00FC15D4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931AC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204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www.bluejohn-cavern.co.uk/" TargetMode="External"/><Relationship Id="rId18" Type="http://schemas.openxmlformats.org/officeDocument/2006/relationships/hyperlink" Target="https://whiterosemaths.com/homelearning/year-4/" TargetMode="External"/><Relationship Id="rId26" Type="http://schemas.openxmlformats.org/officeDocument/2006/relationships/hyperlink" Target="https://spellingframe.co.uk/spelling-rule/50/32-Word-list-years-3-and-4---or--to-pre-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qFZKK7K52uQ" TargetMode="Externa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bluejohnstone.com/gallery/" TargetMode="External"/><Relationship Id="rId17" Type="http://schemas.openxmlformats.org/officeDocument/2006/relationships/hyperlink" Target="https://easyscienceforkids.com/stalactites-and-stalagmites-video-for-kids/" TargetMode="External"/><Relationship Id="rId25" Type="http://schemas.openxmlformats.org/officeDocument/2006/relationships/hyperlink" Target="https://issuu.com/barringtonstoke/docs/blue_john_chapter_sampl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bc.co.uk/programmes/p0091ycj" TargetMode="External"/><Relationship Id="rId20" Type="http://schemas.openxmlformats.org/officeDocument/2006/relationships/hyperlink" Target="https://spellingframe.co.uk/spelling-rule/72/34-Word-list-years-3-and-4---sep--to-su-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bbc.co.uk/bitesize/topics/zvwwxnb/articles/zx9ydxs" TargetMode="External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://www.bbc.com/earth/story/20170221-filming-inside-a-giant-bat-cave" TargetMode="Externa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hyperlink" Target="https://code.org/" TargetMode="External"/><Relationship Id="rId19" Type="http://schemas.openxmlformats.org/officeDocument/2006/relationships/image" Target="media/image2.png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kids.britannica.com/kids/article/cave/352930" TargetMode="External"/><Relationship Id="rId22" Type="http://schemas.openxmlformats.org/officeDocument/2006/relationships/hyperlink" Target="https://whiterosemaths.com/homelearning/year-4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11</cp:revision>
  <cp:lastPrinted>2020-03-22T22:06:00Z</cp:lastPrinted>
  <dcterms:created xsi:type="dcterms:W3CDTF">2020-05-28T14:12:00Z</dcterms:created>
  <dcterms:modified xsi:type="dcterms:W3CDTF">2020-05-29T14:03:00Z</dcterms:modified>
</cp:coreProperties>
</file>