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7028B4"/>
    <w:p w:rsidR="007028B4" w:rsidRPr="007028B4" w:rsidRDefault="007028B4" w:rsidP="007028B4">
      <w:pPr>
        <w:ind w:left="-567"/>
        <w:rPr>
          <w:color w:val="FF0000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4495800</wp:posOffset>
                </wp:positionH>
                <wp:positionV relativeFrom="paragraph">
                  <wp:posOffset>2332990</wp:posOffset>
                </wp:positionV>
                <wp:extent cx="1219200" cy="3695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4. there</w:t>
                            </w: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5. </w:t>
                            </w:r>
                            <w:proofErr w:type="gramStart"/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Their</w:t>
                            </w:r>
                            <w:proofErr w:type="gramEnd"/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6. </w:t>
                            </w:r>
                            <w:proofErr w:type="gramStart"/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their</w:t>
                            </w:r>
                            <w:proofErr w:type="gramEnd"/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7. there</w:t>
                            </w: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8. they’re</w:t>
                            </w: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9. </w:t>
                            </w:r>
                            <w:proofErr w:type="gramStart"/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their</w:t>
                            </w:r>
                            <w:proofErr w:type="gramEnd"/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10. they’re</w:t>
                            </w: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11. </w:t>
                            </w:r>
                            <w:proofErr w:type="gramStart"/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their</w:t>
                            </w:r>
                            <w:proofErr w:type="gramEnd"/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12. there</w:t>
                            </w: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028B4">
                              <w:rPr>
                                <w:color w:val="FF0000"/>
                                <w:sz w:val="24"/>
                                <w:szCs w:val="24"/>
                              </w:rPr>
                              <w:t>13. there</w:t>
                            </w:r>
                          </w:p>
                          <w:p w:rsidR="007028B4" w:rsidRPr="007028B4" w:rsidRDefault="007028B4" w:rsidP="007028B4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pt;margin-top:183.7pt;width:96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" fillcolor="white [3201]" strokeweight=".5pt">
                <v:textbox>
                  <w:txbxContent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4. there</w:t>
                      </w: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 xml:space="preserve">5. </w:t>
                      </w:r>
                      <w:proofErr w:type="gramStart"/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Their</w:t>
                      </w:r>
                      <w:proofErr w:type="gramEnd"/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 xml:space="preserve">6. </w:t>
                      </w:r>
                      <w:proofErr w:type="gramStart"/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their</w:t>
                      </w:r>
                      <w:proofErr w:type="gramEnd"/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7. there</w:t>
                      </w: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8. they’re</w:t>
                      </w: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 xml:space="preserve">9. </w:t>
                      </w:r>
                      <w:proofErr w:type="gramStart"/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their</w:t>
                      </w:r>
                      <w:proofErr w:type="gramEnd"/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10. they’re</w:t>
                      </w: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 xml:space="preserve">11. </w:t>
                      </w:r>
                      <w:proofErr w:type="gramStart"/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their</w:t>
                      </w:r>
                      <w:proofErr w:type="gramEnd"/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12. there</w:t>
                      </w: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028B4">
                        <w:rPr>
                          <w:color w:val="FF0000"/>
                          <w:sz w:val="24"/>
                          <w:szCs w:val="24"/>
                        </w:rPr>
                        <w:t>13. there</w:t>
                      </w:r>
                    </w:p>
                    <w:p w:rsidR="007028B4" w:rsidRPr="007028B4" w:rsidRDefault="007028B4" w:rsidP="007028B4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28B4">
        <w:rPr>
          <w:color w:val="FF0000"/>
          <w:sz w:val="32"/>
          <w:szCs w:val="32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05A1983" wp14:editId="7B919D3D">
            <wp:extent cx="5364480" cy="60769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B4" w:rsidRPr="007028B4" w:rsidRDefault="007028B4">
      <w:pPr>
        <w:rPr>
          <w:color w:val="FF0000"/>
          <w:sz w:val="28"/>
          <w:szCs w:val="28"/>
        </w:rPr>
      </w:pPr>
      <w:r w:rsidRPr="007028B4">
        <w:rPr>
          <w:color w:val="FF0000"/>
          <w:sz w:val="28"/>
          <w:szCs w:val="28"/>
        </w:rPr>
        <w:t xml:space="preserve">Don’t worry if you found these tricky or got some wrong. These are difficult and many adults still get them muddled. There, </w:t>
      </w:r>
      <w:proofErr w:type="spellStart"/>
      <w:r w:rsidRPr="007028B4">
        <w:rPr>
          <w:color w:val="FF0000"/>
          <w:sz w:val="28"/>
          <w:szCs w:val="28"/>
        </w:rPr>
        <w:t>their</w:t>
      </w:r>
      <w:proofErr w:type="spellEnd"/>
      <w:r w:rsidRPr="007028B4">
        <w:rPr>
          <w:color w:val="FF0000"/>
          <w:sz w:val="28"/>
          <w:szCs w:val="28"/>
        </w:rPr>
        <w:t xml:space="preserve"> and there are spellings we will go over many more times in Y4. </w:t>
      </w:r>
    </w:p>
    <w:sectPr w:rsidR="007028B4" w:rsidRPr="00702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B4"/>
    <w:rsid w:val="000F593A"/>
    <w:rsid w:val="007028B4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3601"/>
  <w15:chartTrackingRefBased/>
  <w15:docId w15:val="{19B4984E-535F-4933-B0D3-1026D15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2021-01-08T13:17:00Z</dcterms:created>
  <dcterms:modified xsi:type="dcterms:W3CDTF">2021-01-08T13:23:00Z</dcterms:modified>
</cp:coreProperties>
</file>